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Spec="center" w:tblpY="646"/>
        <w:tblW w:w="10337" w:type="dxa"/>
        <w:tblLayout w:type="fixed"/>
        <w:tblLook w:val="04A0" w:firstRow="1" w:lastRow="0" w:firstColumn="1" w:lastColumn="0" w:noHBand="0" w:noVBand="1"/>
      </w:tblPr>
      <w:tblGrid>
        <w:gridCol w:w="562"/>
        <w:gridCol w:w="2835"/>
        <w:gridCol w:w="6940"/>
      </w:tblGrid>
      <w:tr w:rsidR="00AC0D4E" w:rsidRPr="002773C0" w:rsidTr="00650109">
        <w:trPr>
          <w:trHeight w:val="409"/>
        </w:trPr>
        <w:tc>
          <w:tcPr>
            <w:tcW w:w="562" w:type="dxa"/>
            <w:hideMark/>
          </w:tcPr>
          <w:p w:rsidR="00AC0D4E" w:rsidRPr="00F173D0" w:rsidRDefault="00AC0D4E" w:rsidP="00AC0D4E">
            <w:pPr>
              <w:ind w:left="-113" w:hanging="45"/>
              <w:rPr>
                <w:rFonts w:ascii="Times New Roman" w:hAnsi="Times New Roman" w:cs="Times New Roman"/>
              </w:rPr>
            </w:pPr>
            <w:r w:rsidRPr="00F173D0">
              <w:rPr>
                <w:rFonts w:ascii="Times New Roman" w:hAnsi="Times New Roman" w:cs="Times New Roman"/>
              </w:rPr>
              <w:t>№ п/п</w:t>
            </w:r>
          </w:p>
        </w:tc>
        <w:tc>
          <w:tcPr>
            <w:tcW w:w="2835" w:type="dxa"/>
            <w:hideMark/>
          </w:tcPr>
          <w:p w:rsidR="00AC0D4E" w:rsidRPr="00F173D0" w:rsidRDefault="00AC0D4E" w:rsidP="00AC0D4E">
            <w:pPr>
              <w:rPr>
                <w:rFonts w:ascii="Times New Roman" w:hAnsi="Times New Roman" w:cs="Times New Roman"/>
              </w:rPr>
            </w:pPr>
            <w:r w:rsidRPr="00F173D0">
              <w:rPr>
                <w:rFonts w:ascii="Times New Roman" w:hAnsi="Times New Roman" w:cs="Times New Roman"/>
              </w:rPr>
              <w:t>Поставленный вопрос</w:t>
            </w:r>
          </w:p>
        </w:tc>
        <w:tc>
          <w:tcPr>
            <w:tcW w:w="6940" w:type="dxa"/>
            <w:hideMark/>
          </w:tcPr>
          <w:p w:rsidR="00AC0D4E" w:rsidRPr="00F173D0" w:rsidRDefault="00AC0D4E" w:rsidP="00AC0D4E">
            <w:pPr>
              <w:rPr>
                <w:rFonts w:ascii="Times New Roman" w:hAnsi="Times New Roman" w:cs="Times New Roman"/>
              </w:rPr>
            </w:pPr>
            <w:r w:rsidRPr="00F173D0">
              <w:rPr>
                <w:rFonts w:ascii="Times New Roman" w:hAnsi="Times New Roman" w:cs="Times New Roman"/>
              </w:rPr>
              <w:t>Представленные предложения по решению вопроса</w:t>
            </w:r>
          </w:p>
        </w:tc>
      </w:tr>
      <w:tr w:rsidR="00AC0D4E" w:rsidRPr="002773C0" w:rsidTr="00650109">
        <w:trPr>
          <w:trHeight w:val="1875"/>
        </w:trPr>
        <w:tc>
          <w:tcPr>
            <w:tcW w:w="562"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1</w:t>
            </w:r>
          </w:p>
        </w:tc>
        <w:tc>
          <w:tcPr>
            <w:tcW w:w="2835" w:type="dxa"/>
          </w:tcPr>
          <w:p w:rsidR="00AC0D4E" w:rsidRPr="00F173D0" w:rsidRDefault="00AC0D4E" w:rsidP="00AC0D4E">
            <w:pPr>
              <w:ind w:left="34"/>
              <w:rPr>
                <w:rFonts w:ascii="Times New Roman" w:hAnsi="Times New Roman" w:cs="Times New Roman"/>
              </w:rPr>
            </w:pPr>
            <w:r w:rsidRPr="00F173D0">
              <w:rPr>
                <w:rFonts w:ascii="Times New Roman" w:hAnsi="Times New Roman" w:cs="Times New Roman"/>
              </w:rPr>
              <w:t>На предприятии создана аттестационная комиссия в области промышленной безопасности, по вопросам безопасности гидротехнических сооружений, безопасности в сфере электроэнергетики, и согласно постановления Правительства Российской Федерации от 25 октября 2019 г. № 1365 установлен Единый портал тестирования. Могут ли ответственные за производственный контроль проходить аттестацию в организации или необходимо направлять в территориальную аттестационную комиссию Ростехнадзора?</w:t>
            </w:r>
          </w:p>
        </w:tc>
        <w:tc>
          <w:tcPr>
            <w:tcW w:w="6940"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Согласно пункта 1 статьи 14.1 Федерального закона от 21 июля 1997 г. № 116-ФЗ «О промышленной безопасности опасных производственных объектов»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AC0D4E" w:rsidRPr="00F173D0" w:rsidRDefault="00AC0D4E" w:rsidP="00AC0D4E">
            <w:pPr>
              <w:rPr>
                <w:rFonts w:ascii="Times New Roman" w:hAnsi="Times New Roman" w:cs="Times New Roman"/>
              </w:rPr>
            </w:pPr>
            <w:r w:rsidRPr="00F173D0">
              <w:rPr>
                <w:rFonts w:ascii="Times New Roman" w:hAnsi="Times New Roman" w:cs="Times New Roman"/>
              </w:rPr>
              <w:t>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определен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утвержденным постановлением Правительства Российской Федерации от 25 октября 2019 г. № 1365 (далее – постановление Правительства № 1365, Положение).</w:t>
            </w:r>
          </w:p>
          <w:p w:rsidR="00AC0D4E" w:rsidRPr="00F173D0" w:rsidRDefault="00AC0D4E" w:rsidP="00AC0D4E">
            <w:pPr>
              <w:rPr>
                <w:rFonts w:ascii="Times New Roman" w:hAnsi="Times New Roman" w:cs="Times New Roman"/>
              </w:rPr>
            </w:pPr>
            <w:r w:rsidRPr="00F173D0">
              <w:rPr>
                <w:rFonts w:ascii="Times New Roman" w:hAnsi="Times New Roman" w:cs="Times New Roman"/>
              </w:rPr>
              <w:t>Категории работников, обязанных получать дополнительное профессиональное образование в области промышленной безопасности, определены пунктом 1 постановления Правительства № 1365.</w:t>
            </w:r>
          </w:p>
          <w:p w:rsidR="00AC0D4E" w:rsidRPr="00F173D0" w:rsidRDefault="00AC0D4E" w:rsidP="00AC0D4E">
            <w:pPr>
              <w:rPr>
                <w:rFonts w:ascii="Times New Roman" w:hAnsi="Times New Roman" w:cs="Times New Roman"/>
              </w:rPr>
            </w:pPr>
            <w:r w:rsidRPr="00F173D0">
              <w:rPr>
                <w:rFonts w:ascii="Times New Roman" w:hAnsi="Times New Roman" w:cs="Times New Roman"/>
              </w:rPr>
              <w:t>Категории работников, в отношении которых проводится аттестация в области промышленной безопасности, по вопросам безопасности гидротехнических сооружений, безопасности в сфере электроэнергетики, определены пунктом 2 Положения.</w:t>
            </w:r>
          </w:p>
          <w:p w:rsidR="00AC0D4E" w:rsidRPr="00F173D0" w:rsidRDefault="00AC0D4E" w:rsidP="00AC0D4E">
            <w:pPr>
              <w:rPr>
                <w:rFonts w:ascii="Times New Roman" w:hAnsi="Times New Roman" w:cs="Times New Roman"/>
              </w:rPr>
            </w:pPr>
            <w:r w:rsidRPr="00F173D0">
              <w:rPr>
                <w:rFonts w:ascii="Times New Roman" w:hAnsi="Times New Roman" w:cs="Times New Roman"/>
              </w:rPr>
              <w:t>Согласно пункту 5 Положения работники, ответственные за осуществление производственного контроля за соблюдением требований промышленной безопасности на опасных производственных объектах, проходят первичную и периодическую аттестацию в территориальных аттестационных комиссиях Ростехнадзора.</w:t>
            </w:r>
          </w:p>
          <w:p w:rsidR="00AC0D4E" w:rsidRPr="00F173D0" w:rsidRDefault="00AC0D4E" w:rsidP="00AC0D4E">
            <w:pPr>
              <w:rPr>
                <w:rFonts w:ascii="Times New Roman" w:hAnsi="Times New Roman" w:cs="Times New Roman"/>
              </w:rPr>
            </w:pPr>
            <w:r w:rsidRPr="00F173D0">
              <w:rPr>
                <w:rFonts w:ascii="Times New Roman" w:hAnsi="Times New Roman" w:cs="Times New Roman"/>
              </w:rPr>
              <w:t>Согласно пункту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(далее – Правила), утвержденных постановлением Правительства Российской Федерации от 18 декабря 2020г. № 2168, производственный контроль осуществляет назначенный (определенный) решением руководителя эксплуатирующей организации, индивидуального предпринимателя работник или служба производственного контроля.</w:t>
            </w:r>
          </w:p>
          <w:p w:rsidR="00AC0D4E" w:rsidRPr="00F173D0" w:rsidRDefault="00AC0D4E" w:rsidP="00AC0D4E">
            <w:pPr>
              <w:rPr>
                <w:rFonts w:ascii="Times New Roman" w:hAnsi="Times New Roman" w:cs="Times New Roman"/>
              </w:rPr>
            </w:pPr>
            <w:r w:rsidRPr="00F173D0">
              <w:rPr>
                <w:rFonts w:ascii="Times New Roman" w:hAnsi="Times New Roman" w:cs="Times New Roman"/>
              </w:rPr>
              <w:t>Требования к работникам, ответственным за осуществление производственного контроля на опасных производственных объектах, определены пунктами 11 и 12 Правил. Работник, ответственный за осуществление производственного контроля, назначенный в соответствии с пунктом 7 Правил, должен, в том числе быть аттестован в территориальной аттестационной комиссии Ростехнадзора.</w:t>
            </w:r>
          </w:p>
          <w:p w:rsidR="00AC0D4E" w:rsidRPr="00F173D0" w:rsidRDefault="00AC0D4E" w:rsidP="00AC0D4E">
            <w:pPr>
              <w:rPr>
                <w:rFonts w:ascii="Times New Roman" w:hAnsi="Times New Roman" w:cs="Times New Roman"/>
              </w:rPr>
            </w:pPr>
            <w:r w:rsidRPr="00F173D0">
              <w:rPr>
                <w:rFonts w:ascii="Times New Roman" w:hAnsi="Times New Roman" w:cs="Times New Roman"/>
              </w:rPr>
              <w:t>На иных работников, участвующих в осуществлении производственного контроля, данные требования не распространяются.</w:t>
            </w:r>
          </w:p>
        </w:tc>
      </w:tr>
      <w:tr w:rsidR="00AC0D4E" w:rsidRPr="002773C0" w:rsidTr="00650109">
        <w:trPr>
          <w:trHeight w:val="4500"/>
        </w:trPr>
        <w:tc>
          <w:tcPr>
            <w:tcW w:w="562"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2</w:t>
            </w:r>
          </w:p>
        </w:tc>
        <w:tc>
          <w:tcPr>
            <w:tcW w:w="2835"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На территории Тюменского района расположена дамба, ранее защищала теплицы от паводковых вод, сейчас теплицы заброшены и не функционируют. На сегодняшний день дамба не несет защитной функции. Прошу, разъяснить как ликвидировать данное сооружение.</w:t>
            </w:r>
          </w:p>
        </w:tc>
        <w:tc>
          <w:tcPr>
            <w:tcW w:w="6940"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В соответствии со ст. 3 Федерального закона № 117 от 21 июля 1997 г.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«О безопасности гидротехнических сооружений» дамба относится </w:t>
            </w:r>
          </w:p>
          <w:p w:rsidR="00AC0D4E" w:rsidRPr="00F173D0" w:rsidRDefault="00AC0D4E" w:rsidP="00AC0D4E">
            <w:pPr>
              <w:rPr>
                <w:rFonts w:ascii="Times New Roman" w:hAnsi="Times New Roman" w:cs="Times New Roman"/>
              </w:rPr>
            </w:pPr>
            <w:r w:rsidRPr="00F173D0">
              <w:rPr>
                <w:rFonts w:ascii="Times New Roman" w:hAnsi="Times New Roman" w:cs="Times New Roman"/>
              </w:rPr>
              <w:t>к гидротехническим сооружениям (далее – ГТС).</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Правила консервации и ликвидации гидротехнических сооружений, утверждены постановлением Правительства Российской Федерации </w:t>
            </w:r>
          </w:p>
          <w:p w:rsidR="00AC0D4E" w:rsidRPr="00F173D0" w:rsidRDefault="00AC0D4E" w:rsidP="00AC0D4E">
            <w:pPr>
              <w:rPr>
                <w:rFonts w:ascii="Times New Roman" w:hAnsi="Times New Roman" w:cs="Times New Roman"/>
              </w:rPr>
            </w:pPr>
            <w:r w:rsidRPr="00F173D0">
              <w:rPr>
                <w:rFonts w:ascii="Times New Roman" w:hAnsi="Times New Roman" w:cs="Times New Roman"/>
              </w:rPr>
              <w:t>от 1 октября 2020 г. № 1589 (далее – Правила).</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В соответствии с п. 2 Правил, решение о ликвидации ГТС принимается собственником ГТС с учетом требований законодательства Российской Федерации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о безопасности ГТС, водного законодательства Российской Федерации, законодательства Российской Федерации о градостроительной деятельности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и законодательства Российской Федерации в области охраны окружающей среды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в случае окончания установленного проектной документацией срока эксплуатации ГТС и невозможности или нецелесообразности дальнейшей его эксплуатации, </w:t>
            </w:r>
          </w:p>
          <w:p w:rsidR="00AC0D4E" w:rsidRPr="00F173D0" w:rsidRDefault="00AC0D4E" w:rsidP="00AC0D4E">
            <w:pPr>
              <w:rPr>
                <w:rFonts w:ascii="Times New Roman" w:hAnsi="Times New Roman" w:cs="Times New Roman"/>
              </w:rPr>
            </w:pPr>
            <w:r w:rsidRPr="00F173D0">
              <w:rPr>
                <w:rFonts w:ascii="Times New Roman" w:hAnsi="Times New Roman" w:cs="Times New Roman"/>
              </w:rPr>
              <w:t>а также в случае угрозы возникновения чрезвычайных ситуаций.</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Приказом Ростехнадзора от 26 ноября 2020 г. № 463 утверждена типовая форма решения о консервации и (или) ликвидации ГТС (за исключением судоходных и портовых гидротехнических сооружений).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В соответствии с п. 5, 7 Правил собственник ГТС или уполномоченный орган исполнительной власти субъекта Российской Федерации, на территории которого расположено ГТС, которое не имеет собственника или собственник которого неизвестен либо от права собственности на которое собственник отказался, осуществляет размещение для общественного обсуждения решения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о ликвидации ГТС на своем официальном сайте в информационно-телекоммуникационной сети "Интернет" и (или) в общероссийских </w:t>
            </w:r>
          </w:p>
          <w:p w:rsidR="00AC0D4E" w:rsidRPr="00F173D0" w:rsidRDefault="00AC0D4E" w:rsidP="00AC0D4E">
            <w:pPr>
              <w:rPr>
                <w:rFonts w:ascii="Times New Roman" w:hAnsi="Times New Roman" w:cs="Times New Roman"/>
              </w:rPr>
            </w:pPr>
            <w:r w:rsidRPr="00F173D0">
              <w:rPr>
                <w:rFonts w:ascii="Times New Roman" w:hAnsi="Times New Roman" w:cs="Times New Roman"/>
              </w:rPr>
              <w:t>и (или) региональных государственных периодических печатных изданиях.</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Срок общественного обсуждения решения о ликвидации ГТС составляет </w:t>
            </w:r>
          </w:p>
          <w:p w:rsidR="00AC0D4E" w:rsidRPr="00F173D0" w:rsidRDefault="00AC0D4E" w:rsidP="00AC0D4E">
            <w:pPr>
              <w:rPr>
                <w:rFonts w:ascii="Times New Roman" w:hAnsi="Times New Roman" w:cs="Times New Roman"/>
              </w:rPr>
            </w:pPr>
            <w:r w:rsidRPr="00F173D0">
              <w:rPr>
                <w:rFonts w:ascii="Times New Roman" w:hAnsi="Times New Roman" w:cs="Times New Roman"/>
              </w:rPr>
              <w:t>30 календарных дней со дня его размещения.</w:t>
            </w:r>
          </w:p>
          <w:p w:rsidR="00AC0D4E" w:rsidRPr="00F173D0" w:rsidRDefault="00AC0D4E" w:rsidP="00AC0D4E">
            <w:pPr>
              <w:rPr>
                <w:rFonts w:ascii="Times New Roman" w:hAnsi="Times New Roman" w:cs="Times New Roman"/>
              </w:rPr>
            </w:pPr>
            <w:r w:rsidRPr="00F173D0">
              <w:rPr>
                <w:rFonts w:ascii="Times New Roman" w:hAnsi="Times New Roman" w:cs="Times New Roman"/>
              </w:rPr>
              <w:t>Мероприятия по ликвидации ГТС осуществляются в порядке, определенном проектной документацией, прошедшей государственную экспертизу на предмет, указанный в пункте 2 части 5 статьи 49 Градостроительного кодекса Российской Федерации.</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В случае утери или отсутствия проектной документации ликвидация ГТС IV класса осуществляется на основании декларации безопасности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при ликвидации ГТС, разработанной на основе действующей декларации безопасности эксплуатационного периода и утвержденной федеральными органами исполнительной власти, уполномоченными на осуществление федерального государственного надзора в области безопасности ГТС </w:t>
            </w:r>
          </w:p>
          <w:p w:rsidR="00AC0D4E" w:rsidRPr="00F173D0" w:rsidRDefault="00AC0D4E" w:rsidP="00AC0D4E">
            <w:pPr>
              <w:rPr>
                <w:rFonts w:ascii="Times New Roman" w:hAnsi="Times New Roman" w:cs="Times New Roman"/>
              </w:rPr>
            </w:pPr>
            <w:r w:rsidRPr="00F173D0">
              <w:rPr>
                <w:rFonts w:ascii="Times New Roman" w:hAnsi="Times New Roman" w:cs="Times New Roman"/>
              </w:rPr>
              <w:t>в соответствии с их компетенцией.</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На основании пунктов 9-12 Правил не позднее 30 календарных дней после завершения указанных мероприятий (работ) собственником ГТС, а в случае,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если ГТС не имеет собственника или собственник его неизвестен либо собственник отказался от права собственности, - уполномоченным органом исполнительной власти субъекта Российской Федерации, на территории которого расположено </w:t>
            </w:r>
          </w:p>
          <w:p w:rsidR="00AC0D4E" w:rsidRPr="00F173D0" w:rsidRDefault="00AC0D4E" w:rsidP="00AC0D4E">
            <w:pPr>
              <w:rPr>
                <w:rFonts w:ascii="Times New Roman" w:hAnsi="Times New Roman" w:cs="Times New Roman"/>
              </w:rPr>
            </w:pPr>
            <w:r w:rsidRPr="00F173D0">
              <w:rPr>
                <w:rFonts w:ascii="Times New Roman" w:hAnsi="Times New Roman" w:cs="Times New Roman"/>
              </w:rPr>
              <w:t>это ГТС, в целях оценки соответствия выполненных работ по ликвидации ГТС формируется комиссия.</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В состав комиссии в обязательном порядке включаются представители федеральных органов исполнительной власти, уполномоченных </w:t>
            </w:r>
          </w:p>
          <w:p w:rsidR="00AC0D4E" w:rsidRPr="00F173D0" w:rsidRDefault="00AC0D4E" w:rsidP="00AC0D4E">
            <w:pPr>
              <w:rPr>
                <w:rFonts w:ascii="Times New Roman" w:hAnsi="Times New Roman" w:cs="Times New Roman"/>
              </w:rPr>
            </w:pPr>
            <w:r w:rsidRPr="00F173D0">
              <w:rPr>
                <w:rFonts w:ascii="Times New Roman" w:hAnsi="Times New Roman" w:cs="Times New Roman"/>
              </w:rPr>
              <w:t>на осуществление федерального государственного надзора в области безопасности ГТС в соответствии с их компетенцией, а также органов местного самоуправления, на территории которых находится ликвидируемое ГТС.</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По результатам обследования ГТС и его территории после осуществления мероприятий по ликвидации, комиссией составляется акт обследования. </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Форма акта обследования ГТС и его территории после осуществления мероприятий по консервации и (или) ликвидации (за исключением судоходных </w:t>
            </w:r>
          </w:p>
          <w:p w:rsidR="00AC0D4E" w:rsidRPr="00F173D0" w:rsidRDefault="00AC0D4E" w:rsidP="00AC0D4E">
            <w:pPr>
              <w:rPr>
                <w:rFonts w:ascii="Times New Roman" w:hAnsi="Times New Roman" w:cs="Times New Roman"/>
              </w:rPr>
            </w:pPr>
            <w:r w:rsidRPr="00F173D0">
              <w:rPr>
                <w:rFonts w:ascii="Times New Roman" w:hAnsi="Times New Roman" w:cs="Times New Roman"/>
              </w:rPr>
              <w:t>и портовых ГТС), утверждена приказом Ростехнадзора от 26 ноября 2020 г. № 465.</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Копия акта обследования не позднее 10 календарных дней направляется собственником ГТС, а в случае, если ГТС не имеет собственника или собственник его неизвестен либо собственник отказался от права собственности, - уполномоченным органом исполнительной власти субъекта Российской Федерации в федеральные органы исполнительной власти, уполномоченные </w:t>
            </w:r>
          </w:p>
          <w:p w:rsidR="00AC0D4E" w:rsidRPr="00F173D0" w:rsidRDefault="00AC0D4E" w:rsidP="00AC0D4E">
            <w:pPr>
              <w:rPr>
                <w:rFonts w:ascii="Times New Roman" w:hAnsi="Times New Roman" w:cs="Times New Roman"/>
              </w:rPr>
            </w:pPr>
            <w:r w:rsidRPr="00F173D0">
              <w:rPr>
                <w:rFonts w:ascii="Times New Roman" w:hAnsi="Times New Roman" w:cs="Times New Roman"/>
              </w:rPr>
              <w:t>на ведение Российского регистра ГТС и государственного водного реестра, в целях внесения в них информации о ликвидации ГТС.</w:t>
            </w:r>
          </w:p>
        </w:tc>
      </w:tr>
      <w:tr w:rsidR="00AC0D4E" w:rsidRPr="002773C0" w:rsidTr="00650109">
        <w:trPr>
          <w:trHeight w:val="692"/>
        </w:trPr>
        <w:tc>
          <w:tcPr>
            <w:tcW w:w="562"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3</w:t>
            </w:r>
          </w:p>
        </w:tc>
        <w:tc>
          <w:tcPr>
            <w:tcW w:w="2835"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Как обосновывается площадь уточненных границ горного отвода для добычи подземных вод, если рассчитанная зона формирования депрессионной воронки выходит за пределы участка недр, предоставленного при лицензировании?</w:t>
            </w:r>
          </w:p>
        </w:tc>
        <w:tc>
          <w:tcPr>
            <w:tcW w:w="6940"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Статьёй 7 Закона Российской Федерации от 23 февраля 1992 г. № 2395-1 «О недрах» установлено, что участок недр предоставляется пользователю в виде горного отвода – геометризованного блока недр. Документы, которые удостоверяют уточненные границы горного отвода (горноотводный акт </w:t>
            </w:r>
          </w:p>
          <w:p w:rsidR="00AC0D4E" w:rsidRPr="00F173D0" w:rsidRDefault="00AC0D4E" w:rsidP="00AC0D4E">
            <w:pPr>
              <w:rPr>
                <w:rFonts w:ascii="Times New Roman" w:hAnsi="Times New Roman" w:cs="Times New Roman"/>
              </w:rPr>
            </w:pPr>
            <w:r w:rsidRPr="00F173D0">
              <w:rPr>
                <w:rFonts w:ascii="Times New Roman" w:hAnsi="Times New Roman" w:cs="Times New Roman"/>
              </w:rPr>
              <w:t>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AC0D4E" w:rsidRPr="00F173D0" w:rsidRDefault="00AC0D4E" w:rsidP="00AC0D4E">
            <w:pPr>
              <w:rPr>
                <w:rFonts w:ascii="Times New Roman" w:hAnsi="Times New Roman" w:cs="Times New Roman"/>
              </w:rPr>
            </w:pPr>
            <w:r w:rsidRPr="00F173D0">
              <w:rPr>
                <w:rFonts w:ascii="Times New Roman" w:hAnsi="Times New Roman" w:cs="Times New Roman"/>
              </w:rPr>
              <w:t>Площадь уточнённых границ горного отвода при отсутствии технологических потребностей расширения границ участка недр, согласно пункту 11 Правил подготовки и оформления документов, удостоверяющих уточненные границы горного отвода, утверждённых постановлением Правительства Российской Федерации от 16 сентября 2020 г. № 1465, устанавливается в пределах границ участка недр, предоставленных при выдаче лицензии на пользование недрами.</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Уточненные границы горного отвода для добычи подземных вод устанавливают в пределах границ участка недр, предоставленных </w:t>
            </w:r>
          </w:p>
          <w:p w:rsidR="00AC0D4E" w:rsidRPr="00F173D0" w:rsidRDefault="00AC0D4E" w:rsidP="00AC0D4E">
            <w:pPr>
              <w:rPr>
                <w:rFonts w:ascii="Times New Roman" w:hAnsi="Times New Roman" w:cs="Times New Roman"/>
              </w:rPr>
            </w:pPr>
            <w:r w:rsidRPr="00F173D0">
              <w:rPr>
                <w:rFonts w:ascii="Times New Roman" w:hAnsi="Times New Roman" w:cs="Times New Roman"/>
              </w:rPr>
              <w:t>при лицензировании.</w:t>
            </w:r>
          </w:p>
        </w:tc>
      </w:tr>
      <w:tr w:rsidR="00AC0D4E" w:rsidRPr="002773C0" w:rsidTr="00650109">
        <w:trPr>
          <w:trHeight w:val="841"/>
        </w:trPr>
        <w:tc>
          <w:tcPr>
            <w:tcW w:w="562"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4</w:t>
            </w:r>
          </w:p>
        </w:tc>
        <w:tc>
          <w:tcPr>
            <w:tcW w:w="2835"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Какой нормативно-технической и распорядительной документацией установлен порядок продления нормативного срока службы оборудования, работающего под избыточным давлением, не подлежащего учёту в </w:t>
            </w:r>
            <w:proofErr w:type="spellStart"/>
            <w:r w:rsidRPr="00F173D0">
              <w:rPr>
                <w:rFonts w:ascii="Times New Roman" w:hAnsi="Times New Roman" w:cs="Times New Roman"/>
              </w:rPr>
              <w:t>Ростехнадзоре</w:t>
            </w:r>
            <w:proofErr w:type="spellEnd"/>
            <w:r w:rsidRPr="00F173D0">
              <w:rPr>
                <w:rFonts w:ascii="Times New Roman" w:hAnsi="Times New Roman" w:cs="Times New Roman"/>
              </w:rPr>
              <w:t xml:space="preserve"> и не входящего в состав ОПО?</w:t>
            </w:r>
          </w:p>
        </w:tc>
        <w:tc>
          <w:tcPr>
            <w:tcW w:w="6940" w:type="dxa"/>
          </w:tcPr>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Нормативный срок службы оборудования, работающего под избыточным давлением, не подлежащего учёту в территориальных органах Ростехнадзора </w:t>
            </w:r>
          </w:p>
          <w:p w:rsidR="00AC0D4E" w:rsidRPr="00F173D0" w:rsidRDefault="00AC0D4E" w:rsidP="00AC0D4E">
            <w:pPr>
              <w:rPr>
                <w:rFonts w:ascii="Times New Roman" w:hAnsi="Times New Roman" w:cs="Times New Roman"/>
              </w:rPr>
            </w:pPr>
            <w:r w:rsidRPr="00F173D0">
              <w:rPr>
                <w:rFonts w:ascii="Times New Roman" w:hAnsi="Times New Roman" w:cs="Times New Roman"/>
              </w:rPr>
              <w:t>и не входящего в состав опасного производственного объекта, определяется изготовителем и указывается в инструкции по эксплуатации, а также в паспорте оборудования.</w:t>
            </w:r>
          </w:p>
          <w:p w:rsidR="00AC0D4E" w:rsidRPr="00F173D0" w:rsidRDefault="00AC0D4E" w:rsidP="00AC0D4E">
            <w:pPr>
              <w:rPr>
                <w:rFonts w:ascii="Times New Roman" w:hAnsi="Times New Roman" w:cs="Times New Roman"/>
              </w:rPr>
            </w:pPr>
            <w:r w:rsidRPr="00F173D0">
              <w:rPr>
                <w:rFonts w:ascii="Times New Roman" w:hAnsi="Times New Roman" w:cs="Times New Roman"/>
              </w:rPr>
              <w:t xml:space="preserve">Ответственность за проведение работ по техническому диагностированию </w:t>
            </w:r>
          </w:p>
          <w:p w:rsidR="00AC0D4E" w:rsidRPr="00F173D0" w:rsidRDefault="00AC0D4E" w:rsidP="00AC0D4E">
            <w:pPr>
              <w:rPr>
                <w:rFonts w:ascii="Times New Roman" w:hAnsi="Times New Roman" w:cs="Times New Roman"/>
              </w:rPr>
            </w:pPr>
            <w:r w:rsidRPr="00F173D0">
              <w:rPr>
                <w:rFonts w:ascii="Times New Roman" w:hAnsi="Times New Roman" w:cs="Times New Roman"/>
              </w:rPr>
              <w:t>и безопасной эксплуатации такого оборудования после отработки им назначенного срока службы в этом случае возлагается на руководителя предприятия (организации).</w:t>
            </w:r>
          </w:p>
        </w:tc>
      </w:tr>
    </w:tbl>
    <w:p w:rsidR="009D0FEA" w:rsidRDefault="00BF2319">
      <w:bookmarkStart w:id="0" w:name="_GoBack"/>
      <w:bookmarkEnd w:id="0"/>
    </w:p>
    <w:sectPr w:rsidR="009D0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35"/>
    <w:rsid w:val="00107735"/>
    <w:rsid w:val="002A49A9"/>
    <w:rsid w:val="00414982"/>
    <w:rsid w:val="005B2F70"/>
    <w:rsid w:val="00650109"/>
    <w:rsid w:val="00837F95"/>
    <w:rsid w:val="00963F27"/>
    <w:rsid w:val="00AC0D4E"/>
    <w:rsid w:val="00BA588A"/>
    <w:rsid w:val="00BF2319"/>
    <w:rsid w:val="00F173D0"/>
    <w:rsid w:val="00FA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FEC75-FDF5-481E-8556-B5523722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C0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Алена Александровна</dc:creator>
  <cp:keywords/>
  <dc:description/>
  <cp:lastModifiedBy>Родионова Алена Александровна</cp:lastModifiedBy>
  <cp:revision>5</cp:revision>
  <dcterms:created xsi:type="dcterms:W3CDTF">2023-06-05T10:14:00Z</dcterms:created>
  <dcterms:modified xsi:type="dcterms:W3CDTF">2023-10-27T08:57:00Z</dcterms:modified>
</cp:coreProperties>
</file>